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shd w:val="clear" w:color="auto" w:fill="B3B3B3"/>
        <w:tblLook w:val="01E0"/>
      </w:tblPr>
      <w:tblGrid>
        <w:gridCol w:w="5502"/>
        <w:gridCol w:w="2691"/>
        <w:gridCol w:w="1434"/>
        <w:gridCol w:w="1565"/>
      </w:tblGrid>
      <w:tr w:rsidR="000F0859" w:rsidRPr="00675ACC" w:rsidTr="000C6EBD">
        <w:trPr>
          <w:trHeight w:val="1518"/>
        </w:trPr>
        <w:tc>
          <w:tcPr>
            <w:tcW w:w="11354" w:type="dxa"/>
            <w:gridSpan w:val="2"/>
            <w:shd w:val="clear" w:color="auto" w:fill="D9D9D9"/>
            <w:vAlign w:val="center"/>
          </w:tcPr>
          <w:p w:rsidR="000F0859" w:rsidRPr="00FC1A2F" w:rsidRDefault="000F0859" w:rsidP="000C6EBD">
            <w:pPr>
              <w:jc w:val="center"/>
              <w:rPr>
                <w:rFonts w:ascii="Brush Script MT" w:hAnsi="Brush Script MT"/>
                <w:sz w:val="56"/>
                <w:szCs w:val="56"/>
                <w:lang w:val="en-AU"/>
              </w:rPr>
            </w:pPr>
            <w:r w:rsidRPr="00953C77">
              <w:rPr>
                <w:rFonts w:ascii="Brush Script MT" w:hAnsi="Brush Script MT"/>
                <w:sz w:val="56"/>
                <w:szCs w:val="56"/>
                <w:lang w:val="en-AU"/>
              </w:rPr>
              <w:t>A Virtuous Life - Year C</w:t>
            </w:r>
          </w:p>
          <w:p w:rsidR="000F0859" w:rsidRPr="009C4079" w:rsidRDefault="000F0859" w:rsidP="000C6EBD">
            <w:pPr>
              <w:jc w:val="center"/>
              <w:rPr>
                <w:rFonts w:ascii="Brush Script MT" w:hAnsi="Brush Script MT"/>
                <w:sz w:val="36"/>
                <w:szCs w:val="36"/>
                <w:lang w:val="en-AU"/>
              </w:rPr>
            </w:pPr>
            <w:r w:rsidRPr="00FC1A2F">
              <w:rPr>
                <w:rFonts w:ascii="Brush Script MT" w:hAnsi="Brush Script MT"/>
                <w:sz w:val="36"/>
                <w:szCs w:val="36"/>
                <w:lang w:val="en-AU"/>
              </w:rPr>
              <w:t xml:space="preserve">Linking </w:t>
            </w:r>
            <w:r>
              <w:rPr>
                <w:rFonts w:ascii="Brush Script MT" w:hAnsi="Brush Script MT"/>
                <w:sz w:val="36"/>
                <w:szCs w:val="36"/>
                <w:lang w:val="en-AU"/>
              </w:rPr>
              <w:t xml:space="preserve">St Edmund’s </w:t>
            </w:r>
            <w:r w:rsidRPr="00FC1A2F">
              <w:rPr>
                <w:rFonts w:ascii="Brush Script MT" w:hAnsi="Brush Script MT"/>
                <w:sz w:val="36"/>
                <w:szCs w:val="36"/>
                <w:lang w:val="en-AU"/>
              </w:rPr>
              <w:t>School, Parish and Home</w:t>
            </w:r>
          </w:p>
        </w:tc>
        <w:tc>
          <w:tcPr>
            <w:tcW w:w="1890" w:type="dxa"/>
            <w:vAlign w:val="center"/>
          </w:tcPr>
          <w:p w:rsidR="000F0859" w:rsidRDefault="000F0859" w:rsidP="000C6EBD">
            <w:pPr>
              <w:jc w:val="center"/>
              <w:rPr>
                <w:rFonts w:ascii="Garamond" w:hAnsi="Garamond"/>
                <w:sz w:val="20"/>
                <w:szCs w:val="20"/>
                <w:lang w:val="en-AU"/>
              </w:rPr>
            </w:pPr>
            <w:r w:rsidRPr="006976B5">
              <w:rPr>
                <w:rFonts w:ascii="Garamond" w:hAnsi="Garamond"/>
                <w:sz w:val="20"/>
                <w:szCs w:val="20"/>
                <w:lang w:val="en-AU"/>
              </w:rPr>
              <w:drawing>
                <wp:inline distT="0" distB="0" distL="0" distR="0">
                  <wp:extent cx="733096" cy="802257"/>
                  <wp:effectExtent l="19050" t="0" r="0" b="0"/>
                  <wp:docPr id="3"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734665" cy="803974"/>
                          </a:xfrm>
                          <a:prstGeom prst="rect">
                            <a:avLst/>
                          </a:prstGeom>
                          <a:noFill/>
                          <a:ln w="9525">
                            <a:noFill/>
                            <a:miter lim="800000"/>
                            <a:headEnd/>
                            <a:tailEnd/>
                          </a:ln>
                        </pic:spPr>
                      </pic:pic>
                    </a:graphicData>
                  </a:graphic>
                </wp:inline>
              </w:drawing>
            </w:r>
          </w:p>
          <w:p w:rsidR="000F0859" w:rsidRPr="00675ACC" w:rsidRDefault="000F0859" w:rsidP="000C6EBD">
            <w:pPr>
              <w:jc w:val="center"/>
              <w:rPr>
                <w:rFonts w:ascii="Garamond" w:hAnsi="Garamond"/>
                <w:sz w:val="20"/>
                <w:szCs w:val="20"/>
                <w:lang w:val="en-AU"/>
              </w:rPr>
            </w:pPr>
          </w:p>
        </w:tc>
        <w:tc>
          <w:tcPr>
            <w:tcW w:w="2070" w:type="dxa"/>
            <w:shd w:val="clear" w:color="auto" w:fill="D9D9D9"/>
            <w:vAlign w:val="center"/>
          </w:tcPr>
          <w:p w:rsidR="000F0859" w:rsidRPr="00675ACC" w:rsidRDefault="000F0859" w:rsidP="000C6EBD">
            <w:pPr>
              <w:jc w:val="right"/>
              <w:rPr>
                <w:rFonts w:ascii="Brush Script MT" w:hAnsi="Brush Script MT"/>
                <w:sz w:val="48"/>
                <w:szCs w:val="48"/>
                <w:lang w:val="en-AU"/>
              </w:rPr>
            </w:pPr>
            <w:r>
              <w:rPr>
                <w:rFonts w:ascii="Garamond" w:hAnsi="Garamond"/>
                <w:noProof/>
                <w:lang w:val="en-US"/>
              </w:rPr>
              <w:drawing>
                <wp:inline distT="0" distB="0" distL="0" distR="0">
                  <wp:extent cx="1007233" cy="883145"/>
                  <wp:effectExtent l="0" t="0" r="8890" b="6350"/>
                  <wp:docPr id="2"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0C0C0C"/>
          </w:tcPr>
          <w:p w:rsidR="000F0859" w:rsidRPr="0080292B" w:rsidRDefault="000F0859" w:rsidP="000C6EBD">
            <w:pPr>
              <w:rPr>
                <w:rFonts w:ascii="Arial Narrow" w:hAnsi="Arial Narrow"/>
                <w:b/>
                <w:color w:val="FFFFFF"/>
                <w:sz w:val="24"/>
                <w:szCs w:val="24"/>
                <w:lang w:val="en-AU"/>
              </w:rPr>
            </w:pPr>
            <w:r w:rsidRPr="0080292B">
              <w:rPr>
                <w:rFonts w:ascii="Arial Narrow" w:hAnsi="Arial Narrow"/>
                <w:b/>
                <w:color w:val="FFFFFF"/>
                <w:sz w:val="24"/>
                <w:szCs w:val="24"/>
                <w:lang w:val="en-AU"/>
              </w:rPr>
              <w:t>Religious Education</w:t>
            </w:r>
            <w:r>
              <w:rPr>
                <w:rFonts w:ascii="Arial Narrow" w:hAnsi="Arial Narrow"/>
                <w:b/>
                <w:color w:val="FFFFFF"/>
                <w:sz w:val="24"/>
                <w:szCs w:val="24"/>
                <w:lang w:val="en-AU"/>
              </w:rPr>
              <w:t>; Summer B, 2019</w:t>
            </w:r>
            <w:r w:rsidRPr="0080292B">
              <w:rPr>
                <w:rFonts w:ascii="Arial Narrow" w:hAnsi="Arial Narrow"/>
                <w:b/>
                <w:color w:val="FFFFFF"/>
                <w:sz w:val="24"/>
                <w:szCs w:val="24"/>
                <w:lang w:val="en-AU"/>
              </w:rPr>
              <w:t xml:space="preserve"> </w:t>
            </w: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D9D9D9"/>
          </w:tcPr>
          <w:p w:rsidR="000F0859" w:rsidRPr="0080292B" w:rsidRDefault="000F0859" w:rsidP="000C6EBD">
            <w:pPr>
              <w:pStyle w:val="Footer"/>
              <w:tabs>
                <w:tab w:val="left" w:pos="5040"/>
              </w:tabs>
              <w:spacing w:line="276" w:lineRule="auto"/>
              <w:rPr>
                <w:rFonts w:ascii="Arial Narrow" w:hAnsi="Arial Narrow"/>
                <w:color w:val="000000"/>
                <w:lang w:val="en-AU"/>
              </w:rPr>
            </w:pPr>
            <w:r w:rsidRPr="0080292B">
              <w:rPr>
                <w:rFonts w:ascii="Arial Narrow" w:hAnsi="Arial Narrow"/>
                <w:b/>
                <w:bCs/>
                <w:lang w:val="en-AU"/>
              </w:rPr>
              <w:t xml:space="preserve">Key Idea: </w:t>
            </w: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tcBorders>
              <w:left w:val="single" w:sz="4" w:space="0" w:color="auto"/>
              <w:bottom w:val="single" w:sz="4" w:space="0" w:color="auto"/>
              <w:right w:val="single" w:sz="4" w:space="0" w:color="auto"/>
            </w:tcBorders>
          </w:tcPr>
          <w:p w:rsidR="000F0859" w:rsidRPr="0080292B" w:rsidRDefault="000F0859" w:rsidP="000C6EBD">
            <w:pPr>
              <w:spacing w:after="0"/>
              <w:rPr>
                <w:rFonts w:ascii="Arial Narrow" w:hAnsi="Arial Narrow"/>
                <w:bCs/>
                <w:sz w:val="24"/>
                <w:szCs w:val="24"/>
              </w:rPr>
            </w:pPr>
            <w:r w:rsidRPr="0080292B">
              <w:rPr>
                <w:rFonts w:ascii="Arial Narrow" w:hAnsi="Arial Narrow"/>
                <w:bCs/>
                <w:sz w:val="24"/>
                <w:szCs w:val="24"/>
              </w:rPr>
              <w:t>This resource completes study of the Gospel of Luke by examining one of his most favoured texts, the Good Samaritan, and by relating the actions of the Samaritan to the cardinal virtues. The resource concludes</w:t>
            </w:r>
            <w:r>
              <w:rPr>
                <w:rFonts w:ascii="Arial Narrow" w:hAnsi="Arial Narrow"/>
                <w:bCs/>
                <w:sz w:val="24"/>
                <w:szCs w:val="24"/>
              </w:rPr>
              <w:t xml:space="preserve"> with an investigation</w:t>
            </w:r>
            <w:r w:rsidR="00C4794B">
              <w:rPr>
                <w:rFonts w:ascii="Arial Narrow" w:hAnsi="Arial Narrow"/>
                <w:bCs/>
                <w:sz w:val="24"/>
                <w:szCs w:val="24"/>
              </w:rPr>
              <w:t xml:space="preserve"> </w:t>
            </w:r>
            <w:r w:rsidRPr="0080292B">
              <w:rPr>
                <w:rFonts w:ascii="Arial Narrow" w:hAnsi="Arial Narrow"/>
                <w:bCs/>
                <w:sz w:val="24"/>
                <w:szCs w:val="24"/>
              </w:rPr>
              <w:t xml:space="preserve">of </w:t>
            </w:r>
            <w:r>
              <w:rPr>
                <w:rFonts w:ascii="Arial Narrow" w:hAnsi="Arial Narrow"/>
                <w:bCs/>
                <w:sz w:val="24"/>
                <w:szCs w:val="24"/>
              </w:rPr>
              <w:t xml:space="preserve">a Saint. Some classes will be looking </w:t>
            </w:r>
            <w:r w:rsidRPr="0080292B">
              <w:rPr>
                <w:rFonts w:ascii="Arial Narrow" w:hAnsi="Arial Narrow"/>
                <w:bCs/>
                <w:sz w:val="24"/>
                <w:szCs w:val="24"/>
              </w:rPr>
              <w:t xml:space="preserve">St John </w:t>
            </w:r>
            <w:proofErr w:type="spellStart"/>
            <w:r w:rsidRPr="0080292B">
              <w:rPr>
                <w:rFonts w:ascii="Arial Narrow" w:hAnsi="Arial Narrow"/>
                <w:bCs/>
                <w:sz w:val="24"/>
                <w:szCs w:val="24"/>
              </w:rPr>
              <w:t>South</w:t>
            </w:r>
            <w:r>
              <w:rPr>
                <w:rFonts w:ascii="Arial Narrow" w:hAnsi="Arial Narrow"/>
                <w:bCs/>
                <w:sz w:val="24"/>
                <w:szCs w:val="24"/>
              </w:rPr>
              <w:t>worth</w:t>
            </w:r>
            <w:proofErr w:type="spellEnd"/>
            <w:r w:rsidR="00C4794B">
              <w:rPr>
                <w:rFonts w:ascii="Arial Narrow" w:hAnsi="Arial Narrow"/>
                <w:bCs/>
                <w:sz w:val="24"/>
                <w:szCs w:val="24"/>
              </w:rPr>
              <w:t xml:space="preserve"> </w:t>
            </w:r>
            <w:r w:rsidRPr="0080292B">
              <w:rPr>
                <w:rFonts w:ascii="Arial Narrow" w:hAnsi="Arial Narrow"/>
                <w:bCs/>
                <w:sz w:val="24"/>
                <w:szCs w:val="24"/>
              </w:rPr>
              <w:t xml:space="preserve">and by asking the eternal question, who is my neighbour? </w:t>
            </w:r>
          </w:p>
        </w:tc>
      </w:tr>
      <w:tr w:rsidR="000F0859" w:rsidRPr="00675ACC" w:rsidTr="000C6EBD">
        <w:tblPrEx>
          <w:tblBorders>
            <w:insideH w:val="single" w:sz="4" w:space="0" w:color="auto"/>
            <w:insideV w:val="single" w:sz="4" w:space="0" w:color="auto"/>
          </w:tblBorders>
          <w:shd w:val="clear" w:color="auto" w:fill="auto"/>
        </w:tblPrEx>
        <w:trPr>
          <w:trHeight w:val="402"/>
        </w:trPr>
        <w:tc>
          <w:tcPr>
            <w:tcW w:w="15314" w:type="dxa"/>
            <w:gridSpan w:val="4"/>
            <w:shd w:val="clear" w:color="auto" w:fill="D9D9D9"/>
          </w:tcPr>
          <w:p w:rsidR="000F0859" w:rsidRPr="0080292B" w:rsidRDefault="000F0859" w:rsidP="000C6EBD">
            <w:pPr>
              <w:rPr>
                <w:rFonts w:ascii="Arial Narrow" w:hAnsi="Arial Narrow"/>
                <w:b/>
                <w:bCs/>
                <w:sz w:val="24"/>
                <w:szCs w:val="24"/>
                <w:lang w:val="en-AU"/>
              </w:rPr>
            </w:pPr>
            <w:r w:rsidRPr="0080292B">
              <w:rPr>
                <w:rFonts w:ascii="Arial Narrow" w:hAnsi="Arial Narrow"/>
                <w:b/>
                <w:bCs/>
                <w:sz w:val="24"/>
                <w:szCs w:val="24"/>
                <w:lang w:val="en-AU"/>
              </w:rPr>
              <w:t>Attitudes and Spiritual Dispositions</w:t>
            </w:r>
          </w:p>
        </w:tc>
      </w:tr>
      <w:tr w:rsidR="000F0859" w:rsidRPr="00675ACC" w:rsidTr="000C6EBD">
        <w:tblPrEx>
          <w:tblBorders>
            <w:insideH w:val="single" w:sz="4" w:space="0" w:color="auto"/>
            <w:insideV w:val="single" w:sz="4" w:space="0" w:color="auto"/>
          </w:tblBorders>
          <w:shd w:val="clear" w:color="auto" w:fill="auto"/>
        </w:tblPrEx>
        <w:trPr>
          <w:trHeight w:val="1329"/>
        </w:trPr>
        <w:tc>
          <w:tcPr>
            <w:tcW w:w="7314" w:type="dxa"/>
            <w:tcBorders>
              <w:bottom w:val="single" w:sz="4" w:space="0" w:color="auto"/>
            </w:tcBorders>
          </w:tcPr>
          <w:p w:rsidR="000F0859" w:rsidRPr="0080292B" w:rsidRDefault="000F0859" w:rsidP="000C6EBD">
            <w:pPr>
              <w:spacing w:before="120" w:after="120"/>
              <w:ind w:left="360" w:hanging="360"/>
              <w:rPr>
                <w:rFonts w:ascii="Arial Narrow" w:hAnsi="Arial Narrow"/>
                <w:i/>
                <w:iCs/>
                <w:sz w:val="24"/>
                <w:szCs w:val="24"/>
                <w:lang w:val="en-AU"/>
              </w:rPr>
            </w:pPr>
            <w:r w:rsidRPr="0080292B">
              <w:rPr>
                <w:rFonts w:ascii="Arial Narrow" w:hAnsi="Arial Narrow" w:cs="Arial"/>
                <w:b/>
                <w:iCs/>
                <w:sz w:val="24"/>
                <w:szCs w:val="24"/>
                <w:lang w:val="en-AU"/>
              </w:rPr>
              <w:t>Spiritual Outcomes:</w:t>
            </w:r>
            <w:r w:rsidRPr="0080292B">
              <w:rPr>
                <w:rFonts w:ascii="Arial Narrow" w:hAnsi="Arial Narrow"/>
                <w:i/>
                <w:iCs/>
                <w:sz w:val="24"/>
                <w:szCs w:val="24"/>
                <w:lang w:val="en-AU"/>
              </w:rPr>
              <w:t xml:space="preserve"> It is hoped that pupils will develop:</w:t>
            </w:r>
          </w:p>
          <w:p w:rsidR="000F0859" w:rsidRPr="0080292B" w:rsidRDefault="000F0859" w:rsidP="000F0859">
            <w:pPr>
              <w:numPr>
                <w:ilvl w:val="0"/>
                <w:numId w:val="1"/>
              </w:numPr>
              <w:spacing w:before="60" w:after="60"/>
              <w:rPr>
                <w:rFonts w:ascii="Arial Narrow" w:hAnsi="Arial Narrow"/>
                <w:sz w:val="24"/>
                <w:szCs w:val="24"/>
              </w:rPr>
            </w:pPr>
            <w:r w:rsidRPr="0080292B">
              <w:rPr>
                <w:rFonts w:ascii="Arial Narrow" w:hAnsi="Arial Narrow"/>
                <w:sz w:val="24"/>
                <w:szCs w:val="24"/>
              </w:rPr>
              <w:t>A sense of a virtuous person</w:t>
            </w:r>
          </w:p>
          <w:p w:rsidR="000F0859" w:rsidRPr="0080292B" w:rsidRDefault="000F0859" w:rsidP="000F0859">
            <w:pPr>
              <w:numPr>
                <w:ilvl w:val="0"/>
                <w:numId w:val="1"/>
              </w:numPr>
              <w:spacing w:before="60" w:after="60"/>
              <w:rPr>
                <w:rFonts w:ascii="Arial Narrow" w:hAnsi="Arial Narrow"/>
                <w:sz w:val="24"/>
                <w:szCs w:val="24"/>
              </w:rPr>
            </w:pPr>
            <w:r w:rsidRPr="0080292B">
              <w:rPr>
                <w:rFonts w:ascii="Arial Narrow" w:hAnsi="Arial Narrow"/>
                <w:sz w:val="24"/>
                <w:szCs w:val="24"/>
              </w:rPr>
              <w:t>An openness to the virtues that are presented</w:t>
            </w:r>
          </w:p>
        </w:tc>
        <w:tc>
          <w:tcPr>
            <w:tcW w:w="8000" w:type="dxa"/>
            <w:gridSpan w:val="3"/>
            <w:tcBorders>
              <w:bottom w:val="single" w:sz="4" w:space="0" w:color="auto"/>
            </w:tcBorders>
          </w:tcPr>
          <w:p w:rsidR="000F0859" w:rsidRPr="0080292B" w:rsidRDefault="000F0859" w:rsidP="000C6EBD">
            <w:pPr>
              <w:pStyle w:val="NoSpacing"/>
              <w:ind w:left="720"/>
              <w:rPr>
                <w:rFonts w:ascii="Arial Narrow" w:hAnsi="Arial Narrow"/>
                <w:sz w:val="24"/>
                <w:szCs w:val="24"/>
                <w:lang w:val="en-AU"/>
              </w:rPr>
            </w:pPr>
          </w:p>
          <w:p w:rsidR="000F0859" w:rsidRPr="0080292B" w:rsidRDefault="000F0859" w:rsidP="000C6EBD">
            <w:pPr>
              <w:pStyle w:val="NoSpacing"/>
              <w:ind w:left="720"/>
              <w:rPr>
                <w:rFonts w:ascii="Arial Narrow" w:hAnsi="Arial Narrow"/>
                <w:sz w:val="24"/>
                <w:szCs w:val="24"/>
                <w:lang w:val="en-AU"/>
              </w:rPr>
            </w:pPr>
          </w:p>
          <w:p w:rsidR="000F0859" w:rsidRPr="0080292B" w:rsidRDefault="000F0859" w:rsidP="000F0859">
            <w:pPr>
              <w:pStyle w:val="NoSpacing"/>
              <w:numPr>
                <w:ilvl w:val="0"/>
                <w:numId w:val="1"/>
              </w:numPr>
              <w:rPr>
                <w:rFonts w:ascii="Arial Narrow" w:hAnsi="Arial Narrow"/>
                <w:sz w:val="24"/>
                <w:szCs w:val="24"/>
              </w:rPr>
            </w:pPr>
            <w:r w:rsidRPr="0080292B">
              <w:rPr>
                <w:rFonts w:ascii="Arial Narrow" w:hAnsi="Arial Narrow"/>
                <w:sz w:val="24"/>
                <w:szCs w:val="24"/>
              </w:rPr>
              <w:t>A willingness to try and live these virtues</w:t>
            </w:r>
          </w:p>
          <w:p w:rsidR="000F0859" w:rsidRPr="0080292B" w:rsidRDefault="000F0859" w:rsidP="000C6EBD">
            <w:pPr>
              <w:pStyle w:val="NoSpacing"/>
              <w:ind w:left="720"/>
              <w:rPr>
                <w:rFonts w:ascii="Arial Narrow" w:hAnsi="Arial Narrow"/>
                <w:sz w:val="24"/>
                <w:szCs w:val="24"/>
                <w:lang w:val="en-AU"/>
              </w:rPr>
            </w:pP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shd w:val="clear" w:color="auto" w:fill="D9D9D9"/>
          </w:tcPr>
          <w:p w:rsidR="000F0859" w:rsidRPr="0080292B" w:rsidRDefault="000F0859" w:rsidP="000C6EBD">
            <w:pPr>
              <w:pStyle w:val="Footer"/>
              <w:tabs>
                <w:tab w:val="left" w:pos="5040"/>
              </w:tabs>
              <w:rPr>
                <w:rFonts w:ascii="Arial Narrow" w:hAnsi="Arial Narrow"/>
                <w:b/>
                <w:bCs/>
                <w:lang w:val="en-AU"/>
              </w:rPr>
            </w:pPr>
            <w:r w:rsidRPr="0080292B">
              <w:rPr>
                <w:rFonts w:ascii="Arial Narrow" w:hAnsi="Arial Narrow"/>
                <w:b/>
                <w:bCs/>
                <w:lang w:val="en-AU"/>
              </w:rPr>
              <w:t>Activities to try at home</w:t>
            </w: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tcPr>
          <w:p w:rsidR="000F0859" w:rsidRPr="0080292B" w:rsidRDefault="000F0859" w:rsidP="000C6EBD">
            <w:pPr>
              <w:pStyle w:val="Footer"/>
              <w:tabs>
                <w:tab w:val="left" w:pos="0"/>
                <w:tab w:val="left" w:pos="5040"/>
              </w:tabs>
              <w:spacing w:before="120" w:after="120" w:line="276" w:lineRule="auto"/>
              <w:ind w:right="71"/>
              <w:rPr>
                <w:rFonts w:ascii="Arial Narrow" w:hAnsi="Arial Narrow"/>
                <w:lang w:val="en-AU"/>
              </w:rPr>
            </w:pPr>
            <w:r w:rsidRPr="0080292B">
              <w:rPr>
                <w:rFonts w:ascii="Arial Narrow" w:hAnsi="Arial Narrow"/>
                <w:lang w:val="en-AU"/>
              </w:rPr>
              <w:t xml:space="preserve">You are the first educator of your child in faith. Your child’s learning in religious education will be much greater if you and the school are engaged in talking about the same ideas and beliefs. </w:t>
            </w:r>
          </w:p>
          <w:p w:rsidR="000F0859" w:rsidRPr="0080292B" w:rsidRDefault="000F0859" w:rsidP="000F0859">
            <w:pPr>
              <w:pStyle w:val="NoSpacing"/>
              <w:numPr>
                <w:ilvl w:val="0"/>
                <w:numId w:val="2"/>
              </w:numPr>
              <w:rPr>
                <w:rFonts w:ascii="Arial Narrow" w:hAnsi="Arial Narrow"/>
                <w:sz w:val="24"/>
                <w:szCs w:val="24"/>
                <w:lang w:val="en-AU"/>
              </w:rPr>
            </w:pPr>
            <w:r w:rsidRPr="0080292B">
              <w:rPr>
                <w:rFonts w:ascii="Arial Narrow" w:hAnsi="Arial Narrow"/>
                <w:sz w:val="24"/>
                <w:szCs w:val="24"/>
                <w:lang w:val="en-AU"/>
              </w:rPr>
              <w:t>The virtues of prudence, justice, courage and restraint sound as if they have come from another era! However, the notion that we should think before we act, and consider before we speak is one that has real relevance in today’s world. Talk to your children about the kind of people you want them to be: and the need to practice being thoughtful about, and perhaps even containing, our behaviours.</w:t>
            </w:r>
          </w:p>
          <w:p w:rsidR="000F0859" w:rsidRPr="0080292B" w:rsidRDefault="000F0859" w:rsidP="000C6EBD">
            <w:pPr>
              <w:pStyle w:val="NoSpacing"/>
              <w:ind w:left="720"/>
              <w:rPr>
                <w:rFonts w:ascii="Arial Narrow" w:hAnsi="Arial Narrow"/>
                <w:sz w:val="24"/>
                <w:szCs w:val="24"/>
                <w:lang w:val="en-AU"/>
              </w:rPr>
            </w:pP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D9D9D9"/>
          </w:tcPr>
          <w:p w:rsidR="000F0859" w:rsidRPr="0080292B" w:rsidRDefault="000F0859" w:rsidP="000C6EBD">
            <w:pPr>
              <w:pStyle w:val="Footer"/>
              <w:tabs>
                <w:tab w:val="left" w:pos="0"/>
                <w:tab w:val="left" w:pos="5040"/>
              </w:tabs>
              <w:ind w:right="1091"/>
              <w:rPr>
                <w:rFonts w:ascii="Arial Narrow" w:hAnsi="Arial Narrow"/>
                <w:b/>
                <w:bCs/>
                <w:lang w:val="en-AU"/>
              </w:rPr>
            </w:pPr>
            <w:r w:rsidRPr="0080292B">
              <w:rPr>
                <w:rFonts w:ascii="Arial Narrow" w:hAnsi="Arial Narrow"/>
                <w:b/>
                <w:bCs/>
                <w:lang w:val="en-AU"/>
              </w:rPr>
              <w:t>An idea for prayer at home</w:t>
            </w:r>
          </w:p>
        </w:tc>
      </w:tr>
      <w:tr w:rsidR="000F0859" w:rsidRPr="00675ACC" w:rsidTr="000C6EBD">
        <w:tblPrEx>
          <w:tblBorders>
            <w:insideH w:val="single" w:sz="4" w:space="0" w:color="auto"/>
            <w:insideV w:val="single" w:sz="4" w:space="0" w:color="auto"/>
          </w:tblBorders>
          <w:shd w:val="clear" w:color="auto" w:fill="auto"/>
        </w:tblPrEx>
        <w:tc>
          <w:tcPr>
            <w:tcW w:w="15314" w:type="dxa"/>
            <w:gridSpan w:val="4"/>
            <w:shd w:val="clear" w:color="auto" w:fill="auto"/>
          </w:tcPr>
          <w:tbl>
            <w:tblPr>
              <w:tblpPr w:leftFromText="180" w:rightFromText="180" w:vertAnchor="text" w:horzAnchor="margin" w:tblpY="217"/>
              <w:tblOverlap w:val="never"/>
              <w:tblW w:w="14665" w:type="dxa"/>
              <w:tblLook w:val="01E0"/>
            </w:tblPr>
            <w:tblGrid>
              <w:gridCol w:w="1008"/>
              <w:gridCol w:w="13657"/>
            </w:tblGrid>
            <w:tr w:rsidR="000F0859" w:rsidRPr="0080292B" w:rsidTr="000C6EBD">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0F0859" w:rsidRPr="0080292B" w:rsidRDefault="000F0859" w:rsidP="000C6EBD">
                  <w:pPr>
                    <w:rPr>
                      <w:rFonts w:ascii="Arial Narrow" w:hAnsi="Arial Narrow"/>
                      <w:sz w:val="24"/>
                      <w:szCs w:val="24"/>
                      <w:lang w:val="en-AU"/>
                    </w:rPr>
                  </w:pPr>
                  <w:r w:rsidRPr="0080292B">
                    <w:rPr>
                      <w:rFonts w:ascii="Arial Narrow" w:hAnsi="Arial Narrow"/>
                      <w:b/>
                      <w:noProof/>
                      <w:sz w:val="24"/>
                      <w:szCs w:val="24"/>
                      <w:lang w:val="en-US"/>
                    </w:rPr>
                    <w:drawing>
                      <wp:inline distT="0" distB="0" distL="0" distR="0">
                        <wp:extent cx="462915" cy="664845"/>
                        <wp:effectExtent l="0" t="0" r="0" b="190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664845"/>
                                </a:xfrm>
                                <a:prstGeom prst="rect">
                                  <a:avLst/>
                                </a:prstGeom>
                                <a:noFill/>
                                <a:ln>
                                  <a:noFill/>
                                </a:ln>
                              </pic:spPr>
                            </pic:pic>
                          </a:graphicData>
                        </a:graphic>
                      </wp:inline>
                    </w:drawing>
                  </w:r>
                </w:p>
              </w:tc>
              <w:tc>
                <w:tcPr>
                  <w:tcW w:w="13657" w:type="dxa"/>
                  <w:tcBorders>
                    <w:top w:val="single" w:sz="4" w:space="0" w:color="auto"/>
                    <w:left w:val="single" w:sz="4" w:space="0" w:color="auto"/>
                    <w:bottom w:val="single" w:sz="6" w:space="0" w:color="auto"/>
                    <w:right w:val="single" w:sz="4" w:space="0" w:color="auto"/>
                  </w:tcBorders>
                  <w:shd w:val="clear" w:color="auto" w:fill="0C0C0C"/>
                  <w:vAlign w:val="center"/>
                </w:tcPr>
                <w:p w:rsidR="000F0859" w:rsidRPr="0080292B" w:rsidRDefault="000F0859" w:rsidP="000C6EBD">
                  <w:pPr>
                    <w:rPr>
                      <w:rFonts w:ascii="Arial Narrow" w:hAnsi="Arial Narrow"/>
                      <w:b/>
                      <w:sz w:val="24"/>
                      <w:szCs w:val="24"/>
                      <w:lang w:val="en-AU"/>
                    </w:rPr>
                  </w:pPr>
                  <w:r w:rsidRPr="0080292B">
                    <w:rPr>
                      <w:rFonts w:ascii="Arial Narrow" w:hAnsi="Arial Narrow"/>
                      <w:b/>
                      <w:sz w:val="24"/>
                      <w:szCs w:val="24"/>
                      <w:lang w:val="en-AU"/>
                    </w:rPr>
                    <w:t>Prayer Activity</w:t>
                  </w:r>
                </w:p>
              </w:tc>
            </w:tr>
            <w:tr w:rsidR="000F0859" w:rsidRPr="0080292B" w:rsidTr="000C6EBD">
              <w:trPr>
                <w:cantSplit/>
                <w:trHeight w:val="930"/>
              </w:trPr>
              <w:tc>
                <w:tcPr>
                  <w:tcW w:w="1008" w:type="dxa"/>
                  <w:vMerge/>
                  <w:tcBorders>
                    <w:left w:val="single" w:sz="4" w:space="0" w:color="auto"/>
                    <w:bottom w:val="single" w:sz="4" w:space="0" w:color="auto"/>
                    <w:right w:val="single" w:sz="4" w:space="0" w:color="auto"/>
                  </w:tcBorders>
                  <w:shd w:val="clear" w:color="auto" w:fill="auto"/>
                  <w:vAlign w:val="center"/>
                </w:tcPr>
                <w:p w:rsidR="000F0859" w:rsidRPr="0080292B" w:rsidRDefault="000F0859" w:rsidP="000C6EBD">
                  <w:pPr>
                    <w:rPr>
                      <w:rFonts w:ascii="Arial Narrow" w:hAnsi="Arial Narrow"/>
                      <w:b/>
                      <w:sz w:val="24"/>
                      <w:szCs w:val="24"/>
                      <w:lang w:val="en-AU"/>
                    </w:rPr>
                  </w:pPr>
                </w:p>
              </w:tc>
              <w:tc>
                <w:tcPr>
                  <w:tcW w:w="13657" w:type="dxa"/>
                  <w:tcBorders>
                    <w:top w:val="single" w:sz="6" w:space="0" w:color="auto"/>
                    <w:left w:val="single" w:sz="4" w:space="0" w:color="auto"/>
                    <w:bottom w:val="single" w:sz="4" w:space="0" w:color="auto"/>
                    <w:right w:val="single" w:sz="4" w:space="0" w:color="auto"/>
                  </w:tcBorders>
                  <w:shd w:val="clear" w:color="auto" w:fill="D9D9D9"/>
                </w:tcPr>
                <w:p w:rsidR="000F0859" w:rsidRPr="0080292B" w:rsidRDefault="000F0859" w:rsidP="000C6EBD">
                  <w:pPr>
                    <w:pStyle w:val="NoSpacing"/>
                    <w:rPr>
                      <w:rFonts w:ascii="Arial Narrow" w:hAnsi="Arial Narrow"/>
                      <w:sz w:val="24"/>
                      <w:szCs w:val="24"/>
                      <w:lang w:val="en-US" w:eastAsia="en-GB"/>
                    </w:rPr>
                  </w:pPr>
                  <w:r w:rsidRPr="0080292B">
                    <w:rPr>
                      <w:rFonts w:ascii="Arial Narrow" w:hAnsi="Arial Narrow"/>
                      <w:sz w:val="24"/>
                      <w:szCs w:val="24"/>
                      <w:lang w:val="en-US" w:eastAsia="en-GB"/>
                    </w:rPr>
                    <w:t>Lord Jesus, you challenged the lawyer to consider the Samaritan as someone who loved his neighbor, in a time when they were outcast and condemned. Help us to see those who we find hard to like as among those we are invited to love and care for. Help us to learn to think before we act or speak and to act with courage in living your words. We ask this in your name, Amen.</w:t>
                  </w:r>
                </w:p>
              </w:tc>
            </w:tr>
          </w:tbl>
          <w:p w:rsidR="000F0859" w:rsidRPr="0080292B" w:rsidRDefault="000F0859" w:rsidP="000C6EBD">
            <w:pPr>
              <w:pStyle w:val="Footer"/>
              <w:tabs>
                <w:tab w:val="left" w:pos="0"/>
                <w:tab w:val="left" w:pos="5040"/>
              </w:tabs>
              <w:ind w:right="1091"/>
              <w:rPr>
                <w:rFonts w:ascii="Arial Narrow" w:hAnsi="Arial Narrow"/>
                <w:b/>
                <w:bCs/>
                <w:lang w:val="en-AU"/>
              </w:rPr>
            </w:pPr>
          </w:p>
        </w:tc>
      </w:tr>
    </w:tbl>
    <w:p w:rsidR="003B6AD6" w:rsidRDefault="00C4794B"/>
    <w:sectPr w:rsidR="003B6AD6" w:rsidSect="000F08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B6695"/>
    <w:multiLevelType w:val="hybridMultilevel"/>
    <w:tmpl w:val="892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F0859"/>
    <w:rsid w:val="000F0859"/>
    <w:rsid w:val="007841C5"/>
    <w:rsid w:val="00C47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5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0859"/>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0F0859"/>
    <w:rPr>
      <w:rFonts w:ascii="Times New Roman" w:eastAsia="Times New Roman" w:hAnsi="Times New Roman" w:cs="Times New Roman"/>
      <w:sz w:val="24"/>
      <w:szCs w:val="24"/>
    </w:rPr>
  </w:style>
  <w:style w:type="paragraph" w:styleId="NoSpacing">
    <w:name w:val="No Spacing"/>
    <w:uiPriority w:val="1"/>
    <w:qFormat/>
    <w:rsid w:val="000F0859"/>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F0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859"/>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2</cp:revision>
  <dcterms:created xsi:type="dcterms:W3CDTF">2019-05-22T10:28:00Z</dcterms:created>
  <dcterms:modified xsi:type="dcterms:W3CDTF">2019-05-22T10:31:00Z</dcterms:modified>
</cp:coreProperties>
</file>